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r w:rsidRPr="00EB7E69">
        <w:rPr>
          <w:lang w:val="pl-PL"/>
        </w:rPr>
        <w:t>DACHÓWKA BITUMICZNA – GONT</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1. Zastosowanie   </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 xml:space="preserve">Przeznaczone są do krycia dachów o nachyleniu od </w:t>
      </w:r>
      <w:r w:rsidRPr="00EB7E69">
        <w:rPr>
          <w:lang w:val="pl-PL"/>
        </w:rPr>
        <w:t>15-75</w:t>
      </w:r>
      <w:r w:rsidRPr="00EB7E69">
        <w:rPr>
          <w:lang w:val="pl-PL"/>
        </w:rPr>
        <w:t xml:space="preserve"> o</w:t>
      </w:r>
      <w:r w:rsidRPr="00EB7E69">
        <w:rPr>
          <w:lang w:val="pl-PL"/>
        </w:rPr>
        <w:t xml:space="preserve"> </w:t>
      </w:r>
      <w:r w:rsidRPr="00EB7E69">
        <w:rPr>
          <w:lang w:val="pl-PL"/>
        </w:rPr>
        <w:t xml:space="preserve"> </w:t>
      </w:r>
      <w:r w:rsidRPr="00EB7E69">
        <w:rPr>
          <w:lang w:val="pl-PL"/>
        </w:rPr>
        <w:t>w budownictwie indywidualnym, obiektach stylo</w:t>
      </w:r>
      <w:r w:rsidRPr="00EB7E69">
        <w:rPr>
          <w:lang w:val="pl-PL"/>
        </w:rPr>
        <w:t xml:space="preserve">wych, wypoczynkowych a także przemysłowych.   </w:t>
      </w:r>
    </w:p>
    <w:p w:rsidR="00000000" w:rsidRPr="00EB7E69" w:rsidRDefault="00663D4D" w:rsidP="00EB7E69">
      <w:pPr>
        <w:rPr>
          <w:lang w:val="pl-PL"/>
        </w:rPr>
      </w:pPr>
      <w:r w:rsidRPr="00EB7E69">
        <w:rPr>
          <w:lang w:val="pl-PL"/>
        </w:rPr>
        <w:t xml:space="preserve">Posiadają następujące zalety:   </w:t>
      </w:r>
    </w:p>
    <w:p w:rsidR="00000000" w:rsidRPr="00EB7E69" w:rsidRDefault="00663D4D" w:rsidP="00EB7E69">
      <w:pPr>
        <w:rPr>
          <w:lang w:val="pl-PL"/>
        </w:rPr>
      </w:pPr>
      <w:r w:rsidRPr="00EB7E69">
        <w:rPr>
          <w:lang w:val="pl-PL"/>
        </w:rPr>
        <w:t xml:space="preserve">- Zapewniają dużą estetykę pokrycia dachowego w wyniku zastosowania różnobarwnych posypek, oraz różnych kształtów, </w:t>
      </w:r>
    </w:p>
    <w:p w:rsidR="00000000" w:rsidRPr="00EB7E69" w:rsidRDefault="00663D4D" w:rsidP="00EB7E69">
      <w:pPr>
        <w:rPr>
          <w:lang w:val="pl-PL"/>
        </w:rPr>
      </w:pPr>
      <w:r w:rsidRPr="00EB7E69">
        <w:rPr>
          <w:lang w:val="pl-PL"/>
        </w:rPr>
        <w:t xml:space="preserve">- Są trwałe nie wymagają renowacji i napraw, </w:t>
      </w:r>
    </w:p>
    <w:p w:rsidR="00000000" w:rsidRPr="00EB7E69" w:rsidRDefault="00663D4D" w:rsidP="00EB7E69">
      <w:pPr>
        <w:rPr>
          <w:lang w:val="pl-PL"/>
        </w:rPr>
      </w:pPr>
      <w:r w:rsidRPr="00EB7E69">
        <w:rPr>
          <w:lang w:val="pl-PL"/>
        </w:rPr>
        <w:t>- Pokrycie dac</w:t>
      </w:r>
      <w:r w:rsidRPr="00EB7E69">
        <w:rPr>
          <w:lang w:val="pl-PL"/>
        </w:rPr>
        <w:t xml:space="preserve">howe może być wykonane samodzielnie bez specjalistycznego przygotowania zawodowego i bez stosowania specjalistycznych narzędzi i sprzętu, </w:t>
      </w:r>
    </w:p>
    <w:p w:rsidR="00000000" w:rsidRPr="00EB7E69" w:rsidRDefault="00663D4D" w:rsidP="00EB7E69">
      <w:pPr>
        <w:rPr>
          <w:lang w:val="pl-PL"/>
        </w:rPr>
      </w:pPr>
      <w:r w:rsidRPr="00EB7E69">
        <w:rPr>
          <w:lang w:val="pl-PL"/>
        </w:rPr>
        <w:t xml:space="preserve">- Stanowią małe obciążenie dla konstrukcji dachowej </w:t>
      </w:r>
      <w:r w:rsidRPr="00EB7E69">
        <w:rPr>
          <w:lang w:val="pl-PL"/>
        </w:rPr>
        <w:t xml:space="preserve">(ok. 15kg/m2) </w:t>
      </w:r>
    </w:p>
    <w:p w:rsidR="00000000" w:rsidRPr="00EB7E69" w:rsidRDefault="00663D4D" w:rsidP="00EB7E69">
      <w:pPr>
        <w:rPr>
          <w:lang w:val="pl-PL"/>
        </w:rPr>
      </w:pPr>
      <w:r w:rsidRPr="00EB7E69">
        <w:rPr>
          <w:lang w:val="pl-PL"/>
        </w:rPr>
        <w:t>- Modułowa budowa gontów sprawia, że pokrycie dach</w:t>
      </w:r>
      <w:r w:rsidRPr="00EB7E69">
        <w:rPr>
          <w:lang w:val="pl-PL"/>
        </w:rPr>
        <w:t xml:space="preserve">owe staje się niewrażliwe na ruchy podłoża </w:t>
      </w:r>
    </w:p>
    <w:p w:rsidR="00000000" w:rsidRPr="00EB7E69" w:rsidRDefault="00EB7E69" w:rsidP="00EB7E69">
      <w:pPr>
        <w:rPr>
          <w:lang w:val="pl-PL"/>
        </w:rPr>
      </w:pPr>
      <w:r>
        <w:rPr>
          <w:noProof/>
          <w:lang w:val="pl-PL" w:eastAsia="pl-PL" w:bidi="ar-SA"/>
        </w:rPr>
        <w:drawing>
          <wp:anchor distT="0" distB="0" distL="0" distR="0" simplePos="0" relativeHeight="251653120" behindDoc="0" locked="0" layoutInCell="1" allowOverlap="1">
            <wp:simplePos x="0" y="0"/>
            <wp:positionH relativeFrom="column">
              <wp:posOffset>192405</wp:posOffset>
            </wp:positionH>
            <wp:positionV relativeFrom="paragraph">
              <wp:posOffset>19685</wp:posOffset>
            </wp:positionV>
            <wp:extent cx="2380615" cy="1266190"/>
            <wp:effectExtent l="19050" t="0" r="63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380615" cy="1266190"/>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54144" behindDoc="0" locked="0" layoutInCell="1" allowOverlap="1">
            <wp:simplePos x="0" y="0"/>
            <wp:positionH relativeFrom="column">
              <wp:posOffset>357505</wp:posOffset>
            </wp:positionH>
            <wp:positionV relativeFrom="paragraph">
              <wp:posOffset>1285875</wp:posOffset>
            </wp:positionV>
            <wp:extent cx="1993265" cy="894715"/>
            <wp:effectExtent l="19050" t="0" r="6985"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93265" cy="894715"/>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55168" behindDoc="0" locked="0" layoutInCell="1" allowOverlap="1">
            <wp:simplePos x="0" y="0"/>
            <wp:positionH relativeFrom="column">
              <wp:posOffset>3586480</wp:posOffset>
            </wp:positionH>
            <wp:positionV relativeFrom="paragraph">
              <wp:posOffset>1445895</wp:posOffset>
            </wp:positionV>
            <wp:extent cx="1891665" cy="791845"/>
            <wp:effectExtent l="1905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891665" cy="791845"/>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56192" behindDoc="0" locked="0" layoutInCell="1" allowOverlap="1">
            <wp:simplePos x="0" y="0"/>
            <wp:positionH relativeFrom="column">
              <wp:posOffset>3469005</wp:posOffset>
            </wp:positionH>
            <wp:positionV relativeFrom="paragraph">
              <wp:posOffset>74930</wp:posOffset>
            </wp:positionV>
            <wp:extent cx="2380615" cy="1370965"/>
            <wp:effectExtent l="19050" t="0" r="635"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380615" cy="1370965"/>
                    </a:xfrm>
                    <a:prstGeom prst="rect">
                      <a:avLst/>
                    </a:prstGeom>
                    <a:solidFill>
                      <a:srgbClr val="FFFFFF"/>
                    </a:solidFill>
                    <a:ln w="9525">
                      <a:noFill/>
                      <a:miter lim="800000"/>
                      <a:headEnd/>
                      <a:tailEnd/>
                    </a:ln>
                  </pic:spPr>
                </pic:pic>
              </a:graphicData>
            </a:graphic>
          </wp:anchor>
        </w:drawing>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 xml:space="preserve">2. Przygotowanie podłoża   </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Podłoże może być wykonane z desek lub innego materiału (np. sklejki) umożliwiającego wbijanie gwoździ. Deski użyte do wykonania podłoża winny mieć szerokość w granicach 10-1</w:t>
      </w:r>
      <w:r w:rsidRPr="00EB7E69">
        <w:rPr>
          <w:lang w:val="pl-PL"/>
        </w:rPr>
        <w:t>3,5 cm,. Na tak wykonanym podłożu można ułożyć jedną warstwę papy podkładowej. W przypadku kiedy pochylenie dachu jest bardzo małe (10-180) pokrycie dachu jedną warstwą papy podkładowej jest niezbędne. Po wykonaniu deskowania wykonujemy wszystkie przewidzi</w:t>
      </w:r>
      <w:r w:rsidRPr="00EB7E69">
        <w:rPr>
          <w:lang w:val="pl-PL"/>
        </w:rPr>
        <w:t xml:space="preserve">ane obróbki blacharskie   </w:t>
      </w:r>
    </w:p>
    <w:p w:rsidR="00000000" w:rsidRPr="00EB7E69" w:rsidRDefault="00663D4D" w:rsidP="00EB7E69">
      <w:pPr>
        <w:rPr>
          <w:lang w:val="pl-PL"/>
        </w:rPr>
      </w:pPr>
      <w:r w:rsidRPr="00EB7E69">
        <w:rPr>
          <w:lang w:val="pl-PL"/>
        </w:rPr>
        <w:t xml:space="preserve">(tj. rynny, obróbki kominów, wywietrzniki itp.)   </w:t>
      </w:r>
    </w:p>
    <w:p w:rsidR="00000000" w:rsidRPr="00EB7E69" w:rsidRDefault="00EB7E69" w:rsidP="00EB7E69">
      <w:pPr>
        <w:rPr>
          <w:lang w:val="pl-PL"/>
        </w:rPr>
      </w:pPr>
      <w:r>
        <w:rPr>
          <w:noProof/>
          <w:lang w:val="pl-PL" w:eastAsia="pl-PL" w:bidi="ar-SA"/>
        </w:rPr>
        <w:drawing>
          <wp:anchor distT="0" distB="0" distL="0" distR="0" simplePos="0" relativeHeight="251658240" behindDoc="0" locked="0" layoutInCell="1" allowOverlap="1">
            <wp:simplePos x="0" y="0"/>
            <wp:positionH relativeFrom="column">
              <wp:posOffset>1278255</wp:posOffset>
            </wp:positionH>
            <wp:positionV relativeFrom="paragraph">
              <wp:posOffset>245745</wp:posOffset>
            </wp:positionV>
            <wp:extent cx="2856865" cy="1628140"/>
            <wp:effectExtent l="19050" t="0" r="635"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56865" cy="1628140"/>
                    </a:xfrm>
                    <a:prstGeom prst="rect">
                      <a:avLst/>
                    </a:prstGeom>
                    <a:solidFill>
                      <a:srgbClr val="FFFFFF"/>
                    </a:solidFill>
                    <a:ln w="9525">
                      <a:noFill/>
                      <a:miter lim="800000"/>
                      <a:headEnd/>
                      <a:tailEnd/>
                    </a:ln>
                  </pic:spPr>
                </pic:pic>
              </a:graphicData>
            </a:graphic>
          </wp:anchor>
        </w:drawing>
      </w:r>
      <w:r w:rsidR="00663D4D" w:rsidRPr="00EB7E69">
        <w:rPr>
          <w:lang w:val="pl-PL"/>
        </w:rPr>
        <w:t xml:space="preserve">Układanie gontów papowych powinno być ostatnią czynnością  na dachu.   </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3. Sposób układania gontów papowych   </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lastRenderedPageBreak/>
        <w:t>Krycie gontami rozpoczynamy od okapu mocując wzdłuż niego gont</w:t>
      </w:r>
      <w:r w:rsidRPr="00EB7E69">
        <w:rPr>
          <w:lang w:val="pl-PL"/>
        </w:rPr>
        <w:t xml:space="preserve">y ułożone wybrzuszeniami   </w:t>
      </w:r>
    </w:p>
    <w:p w:rsidR="00000000" w:rsidRPr="00EB7E69" w:rsidRDefault="00663D4D" w:rsidP="00EB7E69">
      <w:pPr>
        <w:rPr>
          <w:lang w:val="pl-PL"/>
        </w:rPr>
      </w:pPr>
      <w:r w:rsidRPr="00EB7E69">
        <w:rPr>
          <w:lang w:val="pl-PL"/>
        </w:rPr>
        <w:t>ku górze, lub pas papy o szerokości nie mniejszej niż szerokość gonta.Odwrócone gonty mocujemy do podłoża przybijając je ocynkowanymi gwoździami papowymi. Pierwszą warstwę gontów układa się tak,  aby dolna krawędź wybrzuszeń pok</w:t>
      </w:r>
      <w:r w:rsidRPr="00EB7E69">
        <w:rPr>
          <w:lang w:val="pl-PL"/>
        </w:rPr>
        <w:t xml:space="preserve">rywała się z dolną krawędzią pasa papy lub gontów ułożonych wybrzuszeniami ku górze. Sąsiadujące gonty układa się na styk. Drugą i każdą następną warstwę gontów układa się wybrzuszeniami do dołu w ten sposób, aby poszczególne moduły gonta były przesunięte </w:t>
      </w:r>
      <w:r w:rsidRPr="00EB7E69">
        <w:rPr>
          <w:lang w:val="pl-PL"/>
        </w:rPr>
        <w:t>o połowę podziałki, tworząc efekt mijania się gontów. Gonty należy układać w ten sposób, aby wierzchołki wybrzuszeń przykrywały gwoździe mocujące warstwę poprzednią  i pokrywały się z górną krawędzią wycięcia międzymodułowego. W warunkach narażenia na dzia</w:t>
      </w:r>
      <w:r w:rsidRPr="00EB7E69">
        <w:rPr>
          <w:lang w:val="pl-PL"/>
        </w:rPr>
        <w:t>łanie silnych wiatrów wskazane jest dodatkowe podklejanie gontów lepikiem asfaltowym na gorąco naniesionym na spodnią stronę ich wybrzuszeń. Działanie promieni słonecznych spowoduje przyklejenie się wybrzuszeń zabezpieczając je przed podrywaniem przez wiat</w:t>
      </w:r>
      <w:r w:rsidRPr="00EB7E69">
        <w:rPr>
          <w:lang w:val="pl-PL"/>
        </w:rPr>
        <w:t xml:space="preserve">r.   </w:t>
      </w:r>
    </w:p>
    <w:p w:rsidR="00000000" w:rsidRPr="00EB7E69" w:rsidRDefault="00663D4D" w:rsidP="00EB7E69">
      <w:pPr>
        <w:rPr>
          <w:lang w:val="pl-PL"/>
        </w:rPr>
      </w:pPr>
      <w:r w:rsidRPr="00EB7E69">
        <w:rPr>
          <w:lang w:val="pl-PL"/>
        </w:rPr>
        <w:t xml:space="preserve">  </w:t>
      </w:r>
    </w:p>
    <w:p w:rsidR="00000000" w:rsidRPr="00EB7E69" w:rsidRDefault="00EB7E69" w:rsidP="00EB7E69">
      <w:pPr>
        <w:rPr>
          <w:lang w:val="pl-PL"/>
        </w:rPr>
      </w:pPr>
      <w:r>
        <w:rPr>
          <w:noProof/>
          <w:lang w:val="pl-PL" w:eastAsia="pl-PL" w:bidi="ar-SA"/>
        </w:rPr>
        <w:drawing>
          <wp:anchor distT="0" distB="0" distL="0" distR="0" simplePos="0" relativeHeight="251657216" behindDoc="0" locked="0" layoutInCell="1" allowOverlap="1">
            <wp:simplePos x="0" y="0"/>
            <wp:positionH relativeFrom="column">
              <wp:posOffset>3011170</wp:posOffset>
            </wp:positionH>
            <wp:positionV relativeFrom="paragraph">
              <wp:posOffset>34290</wp:posOffset>
            </wp:positionV>
            <wp:extent cx="2856865" cy="1723390"/>
            <wp:effectExtent l="19050" t="0" r="63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856865" cy="1723390"/>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59264" behindDoc="0" locked="0" layoutInCell="1" allowOverlap="1">
            <wp:simplePos x="0" y="0"/>
            <wp:positionH relativeFrom="column">
              <wp:posOffset>87630</wp:posOffset>
            </wp:positionH>
            <wp:positionV relativeFrom="paragraph">
              <wp:posOffset>34290</wp:posOffset>
            </wp:positionV>
            <wp:extent cx="2856865" cy="1923415"/>
            <wp:effectExtent l="19050" t="0" r="635"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56865" cy="1923415"/>
                    </a:xfrm>
                    <a:prstGeom prst="rect">
                      <a:avLst/>
                    </a:prstGeom>
                    <a:solidFill>
                      <a:srgbClr val="FFFFFF"/>
                    </a:solidFill>
                    <a:ln w="9525">
                      <a:noFill/>
                      <a:miter lim="800000"/>
                      <a:headEnd/>
                      <a:tailEnd/>
                    </a:ln>
                  </pic:spPr>
                </pic:pic>
              </a:graphicData>
            </a:graphic>
          </wp:anchor>
        </w:drawing>
      </w:r>
      <w:r w:rsidR="00663D4D" w:rsidRPr="00EB7E69">
        <w:rPr>
          <w:lang w:val="pl-PL"/>
        </w:rPr>
        <w:t xml:space="preserve"> </w:t>
      </w:r>
    </w:p>
    <w:p w:rsidR="00000000" w:rsidRPr="00EB7E69" w:rsidRDefault="00663D4D" w:rsidP="00EB7E69">
      <w:pPr>
        <w:rPr>
          <w:lang w:val="pl-PL"/>
        </w:rPr>
      </w:pPr>
      <w:r w:rsidRPr="00EB7E69">
        <w:rPr>
          <w:lang w:val="pl-PL"/>
        </w:rPr>
        <w:t>Kosz kształtuje się układając pasy gontów na zakładke.Wzdłuż osi krawędzi koszowej układa się na warstwie podkładowej dodatkową warstwę papy asfaltowej podkładowej lub innej membrany szerokości ok. 1m. Układanie rozpoczyna się analogicznie jak</w:t>
      </w:r>
      <w:r w:rsidRPr="00EB7E69">
        <w:rPr>
          <w:lang w:val="pl-PL"/>
        </w:rPr>
        <w:t xml:space="preserve"> na połaci dachowej od ułozenia gontów wycięciami do góry.</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 xml:space="preserve">4. Czynności wykończeniowe.   </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 xml:space="preserve">Prace wykończeniowe wykonuje się pojedynczymi modułami wyciętymi z gontów papowych w sposób pokazany na rysunkach.   </w:t>
      </w:r>
    </w:p>
    <w:p w:rsidR="00000000" w:rsidRPr="00EB7E69" w:rsidRDefault="00663D4D" w:rsidP="00EB7E69">
      <w:pPr>
        <w:rPr>
          <w:lang w:val="pl-PL"/>
        </w:rPr>
      </w:pPr>
      <w:r w:rsidRPr="00EB7E69">
        <w:rPr>
          <w:lang w:val="pl-PL"/>
        </w:rPr>
        <w:t>W przypadku kiedy  podłoże połaci dachow</w:t>
      </w:r>
      <w:r w:rsidRPr="00EB7E69">
        <w:rPr>
          <w:lang w:val="pl-PL"/>
        </w:rPr>
        <w:t xml:space="preserve">ej nie jest zabezpieczone warstwa papy podkładowej,   </w:t>
      </w:r>
    </w:p>
    <w:p w:rsidR="00000000" w:rsidRPr="00EB7E69" w:rsidRDefault="00663D4D" w:rsidP="00EB7E69">
      <w:pPr>
        <w:rPr>
          <w:lang w:val="pl-PL"/>
        </w:rPr>
      </w:pPr>
      <w:r w:rsidRPr="00EB7E69">
        <w:rPr>
          <w:lang w:val="pl-PL"/>
        </w:rPr>
        <w:t xml:space="preserve">w celu wyeliminowania ewentualnych przecieków kalenice, naroża i kosze zlewowe należy zabezpieczyć pasem papy podkładowej o szerokości min.50 cm w sposób podany na rysunkach podglądowych.   </w:t>
      </w:r>
    </w:p>
    <w:p w:rsidR="00000000" w:rsidRPr="00EB7E69" w:rsidRDefault="00663D4D" w:rsidP="00EB7E69">
      <w:pPr>
        <w:rPr>
          <w:lang w:val="pl-PL"/>
        </w:rPr>
      </w:pPr>
      <w:r w:rsidRPr="00EB7E69">
        <w:rPr>
          <w:lang w:val="pl-PL"/>
        </w:rPr>
        <w:t>Do wykonan</w:t>
      </w:r>
      <w:r w:rsidRPr="00EB7E69">
        <w:rPr>
          <w:lang w:val="pl-PL"/>
        </w:rPr>
        <w:t xml:space="preserve">ia obróbki jednego metra bieżącego kosza zlewowego, kalenicy lub naroża należy wyciąć 10 szt. pojedynczych modułów gonta.  </w:t>
      </w:r>
    </w:p>
    <w:p w:rsidR="00000000" w:rsidRPr="00EB7E69" w:rsidRDefault="00EB7E69" w:rsidP="00EB7E69">
      <w:pPr>
        <w:rPr>
          <w:lang w:val="pl-PL"/>
        </w:rPr>
      </w:pPr>
      <w:r>
        <w:rPr>
          <w:noProof/>
          <w:lang w:val="pl-PL" w:eastAsia="pl-PL" w:bidi="ar-SA"/>
        </w:rPr>
        <w:lastRenderedPageBreak/>
        <w:drawing>
          <wp:anchor distT="0" distB="0" distL="0" distR="0" simplePos="0" relativeHeight="251660288" behindDoc="0" locked="0" layoutInCell="1" allowOverlap="1">
            <wp:simplePos x="0" y="0"/>
            <wp:positionH relativeFrom="column">
              <wp:posOffset>3556635</wp:posOffset>
            </wp:positionH>
            <wp:positionV relativeFrom="paragraph">
              <wp:posOffset>78105</wp:posOffset>
            </wp:positionV>
            <wp:extent cx="2586990" cy="2045335"/>
            <wp:effectExtent l="19050" t="0" r="381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586990" cy="2045335"/>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61312" behindDoc="0" locked="0" layoutInCell="1" allowOverlap="1">
            <wp:simplePos x="0" y="0"/>
            <wp:positionH relativeFrom="column">
              <wp:posOffset>1731010</wp:posOffset>
            </wp:positionH>
            <wp:positionV relativeFrom="paragraph">
              <wp:posOffset>283845</wp:posOffset>
            </wp:positionV>
            <wp:extent cx="1932940" cy="1228090"/>
            <wp:effectExtent l="19050" t="0" r="0" b="0"/>
            <wp:wrapTopAndBottom/>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932940" cy="1228090"/>
                    </a:xfrm>
                    <a:prstGeom prst="rect">
                      <a:avLst/>
                    </a:prstGeom>
                    <a:solidFill>
                      <a:srgbClr val="FFFFFF"/>
                    </a:solidFill>
                    <a:ln w="9525">
                      <a:noFill/>
                      <a:miter lim="800000"/>
                      <a:headEnd/>
                      <a:tailEnd/>
                    </a:ln>
                  </pic:spPr>
                </pic:pic>
              </a:graphicData>
            </a:graphic>
          </wp:anchor>
        </w:drawing>
      </w:r>
      <w:r>
        <w:rPr>
          <w:noProof/>
          <w:lang w:val="pl-PL" w:eastAsia="pl-PL" w:bidi="ar-SA"/>
        </w:rPr>
        <w:drawing>
          <wp:anchor distT="0" distB="0" distL="0" distR="0" simplePos="0" relativeHeight="251662336" behindDoc="0" locked="0" layoutInCell="1" allowOverlap="1">
            <wp:simplePos x="0" y="0"/>
            <wp:positionH relativeFrom="column">
              <wp:posOffset>-74295</wp:posOffset>
            </wp:positionH>
            <wp:positionV relativeFrom="paragraph">
              <wp:posOffset>125730</wp:posOffset>
            </wp:positionV>
            <wp:extent cx="1885315" cy="1580515"/>
            <wp:effectExtent l="19050" t="0" r="635" b="0"/>
            <wp:wrapTopAndBottom/>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885315" cy="1580515"/>
                    </a:xfrm>
                    <a:prstGeom prst="rect">
                      <a:avLst/>
                    </a:prstGeom>
                    <a:solidFill>
                      <a:srgbClr val="FFFFFF"/>
                    </a:solidFill>
                    <a:ln w="9525">
                      <a:noFill/>
                      <a:miter lim="800000"/>
                      <a:headEnd/>
                      <a:tailEnd/>
                    </a:ln>
                  </pic:spPr>
                </pic:pic>
              </a:graphicData>
            </a:graphic>
          </wp:anchor>
        </w:drawing>
      </w:r>
      <w:r w:rsidR="00663D4D" w:rsidRPr="00EB7E69">
        <w:rPr>
          <w:lang w:val="pl-PL"/>
        </w:rPr>
        <w:t xml:space="preserve">  PARAMETRY: </w:t>
      </w:r>
    </w:p>
    <w:p w:rsidR="00000000" w:rsidRPr="00EB7E69" w:rsidRDefault="00663D4D" w:rsidP="00EB7E69">
      <w:pPr>
        <w:rPr>
          <w:lang w:val="pl-PL"/>
        </w:rPr>
      </w:pPr>
      <w:r w:rsidRPr="00EB7E69">
        <w:rPr>
          <w:lang w:val="pl-PL"/>
        </w:rPr>
        <w:t>Długość (EN 544): 1000 mm(+/-3)</w:t>
      </w:r>
    </w:p>
    <w:p w:rsidR="00000000" w:rsidRPr="00EB7E69" w:rsidRDefault="00663D4D" w:rsidP="00EB7E69">
      <w:pPr>
        <w:rPr>
          <w:lang w:val="pl-PL"/>
        </w:rPr>
      </w:pPr>
      <w:r w:rsidRPr="00EB7E69">
        <w:rPr>
          <w:lang w:val="pl-PL"/>
        </w:rPr>
        <w:t>Szerokość (EN 544): 336 mm(+/-3)</w:t>
      </w:r>
    </w:p>
    <w:p w:rsidR="00000000" w:rsidRPr="00EB7E69" w:rsidRDefault="00663D4D" w:rsidP="00EB7E69">
      <w:pPr>
        <w:rPr>
          <w:lang w:val="pl-PL"/>
        </w:rPr>
      </w:pPr>
      <w:r w:rsidRPr="00EB7E69">
        <w:rPr>
          <w:lang w:val="pl-PL"/>
        </w:rPr>
        <w:t>Ciężar (nachylenie&gt;25°): +/- 10,9 kg/m2</w:t>
      </w:r>
    </w:p>
    <w:p w:rsidR="00000000" w:rsidRPr="00EB7E69" w:rsidRDefault="00663D4D" w:rsidP="00EB7E69">
      <w:pPr>
        <w:rPr>
          <w:lang w:val="pl-PL"/>
        </w:rPr>
      </w:pPr>
      <w:r w:rsidRPr="00EB7E69">
        <w:rPr>
          <w:lang w:val="pl-PL"/>
        </w:rPr>
        <w:t>Maksymalne</w:t>
      </w:r>
      <w:r w:rsidRPr="00EB7E69">
        <w:rPr>
          <w:lang w:val="pl-PL"/>
        </w:rPr>
        <w:t xml:space="preserve"> pokrycie z paczki: 3 m2</w:t>
      </w:r>
    </w:p>
    <w:p w:rsidR="00000000" w:rsidRPr="00EB7E69" w:rsidRDefault="00663D4D" w:rsidP="00EB7E69">
      <w:pPr>
        <w:rPr>
          <w:lang w:val="pl-PL"/>
        </w:rPr>
      </w:pPr>
      <w:r w:rsidRPr="00EB7E69">
        <w:rPr>
          <w:lang w:val="pl-PL"/>
        </w:rPr>
        <w:t>Gonty/paczka: 21</w:t>
      </w:r>
    </w:p>
    <w:p w:rsidR="00000000" w:rsidRPr="00EB7E69" w:rsidRDefault="00663D4D" w:rsidP="00EB7E69">
      <w:pPr>
        <w:rPr>
          <w:lang w:val="pl-PL"/>
        </w:rPr>
      </w:pPr>
      <w:r w:rsidRPr="00EB7E69">
        <w:rPr>
          <w:lang w:val="pl-PL"/>
        </w:rPr>
        <w:t>Paczki/paleta: 48</w:t>
      </w:r>
    </w:p>
    <w:p w:rsidR="00000000" w:rsidRPr="00EB7E69" w:rsidRDefault="00663D4D" w:rsidP="00EB7E69">
      <w:pPr>
        <w:rPr>
          <w:lang w:val="pl-PL"/>
        </w:rPr>
      </w:pPr>
      <w:r w:rsidRPr="00EB7E69">
        <w:rPr>
          <w:lang w:val="pl-PL"/>
        </w:rPr>
        <w:t>Przyczepność granulatu ( EN 12039): max 1,2 g</w:t>
      </w:r>
    </w:p>
    <w:p w:rsidR="00000000" w:rsidRPr="00EB7E69" w:rsidRDefault="00663D4D" w:rsidP="00EB7E69">
      <w:pPr>
        <w:rPr>
          <w:lang w:val="pl-PL"/>
        </w:rPr>
      </w:pPr>
      <w:r w:rsidRPr="00EB7E69">
        <w:rPr>
          <w:lang w:val="pl-PL"/>
        </w:rPr>
        <w:t>Naprężenie wzdłuż* (EN 12311-1): 1000 N/50 mm</w:t>
      </w:r>
    </w:p>
    <w:p w:rsidR="00000000" w:rsidRPr="00EB7E69" w:rsidRDefault="00663D4D" w:rsidP="00EB7E69">
      <w:pPr>
        <w:rPr>
          <w:lang w:val="pl-PL"/>
        </w:rPr>
      </w:pPr>
      <w:r w:rsidRPr="00EB7E69">
        <w:rPr>
          <w:lang w:val="pl-PL"/>
        </w:rPr>
        <w:t>Naprężenie wszerz* (EN 12311-1): 700 N/50 mm</w:t>
      </w:r>
    </w:p>
    <w:p w:rsidR="00000000" w:rsidRPr="00EB7E69" w:rsidRDefault="00663D4D" w:rsidP="00EB7E69">
      <w:pPr>
        <w:rPr>
          <w:lang w:val="pl-PL"/>
        </w:rPr>
      </w:pPr>
      <w:r w:rsidRPr="00EB7E69">
        <w:rPr>
          <w:lang w:val="pl-PL"/>
        </w:rPr>
        <w:t>Rozciągliwość wzdłuż* (EN 12311-1): 3 %</w:t>
      </w:r>
    </w:p>
    <w:p w:rsidR="00000000" w:rsidRPr="00EB7E69" w:rsidRDefault="00663D4D" w:rsidP="00EB7E69">
      <w:pPr>
        <w:rPr>
          <w:lang w:val="pl-PL"/>
        </w:rPr>
      </w:pPr>
      <w:r w:rsidRPr="00EB7E69">
        <w:rPr>
          <w:lang w:val="pl-PL"/>
        </w:rPr>
        <w:t>Rozciągliwość wszer</w:t>
      </w:r>
      <w:r w:rsidRPr="00EB7E69">
        <w:rPr>
          <w:lang w:val="pl-PL"/>
        </w:rPr>
        <w:t>z* (EN 12311-1): 3 %</w:t>
      </w:r>
    </w:p>
    <w:p w:rsidR="00000000" w:rsidRPr="00EB7E69" w:rsidRDefault="00663D4D" w:rsidP="00EB7E69">
      <w:pPr>
        <w:rPr>
          <w:lang w:val="pl-PL"/>
        </w:rPr>
      </w:pPr>
      <w:r w:rsidRPr="00EB7E69">
        <w:rPr>
          <w:lang w:val="pl-PL"/>
        </w:rPr>
        <w:t>Odporność na rozdarcie przez gwoździe* (EN 12310-1): 160 N</w:t>
      </w:r>
    </w:p>
    <w:p w:rsidR="00000000" w:rsidRPr="00EB7E69" w:rsidRDefault="00663D4D" w:rsidP="00EB7E69">
      <w:pPr>
        <w:rPr>
          <w:lang w:val="pl-PL"/>
        </w:rPr>
      </w:pPr>
      <w:r w:rsidRPr="00EB7E69">
        <w:rPr>
          <w:lang w:val="pl-PL"/>
        </w:rPr>
        <w:t>Odporność ogniowa: DIN 4102/7 PN-B-02872/1996 MSZ. 14800-11 Önorm B 3800/3 BS 476/3 M3 ZP-2/1991 EN ISO 1 11925-2</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(*wartości średnie) </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BUDOWA: </w:t>
      </w:r>
    </w:p>
    <w:p w:rsidR="00000000" w:rsidRPr="00EB7E69" w:rsidRDefault="00663D4D" w:rsidP="00EB7E69">
      <w:pPr>
        <w:rPr>
          <w:lang w:val="pl-PL"/>
        </w:rPr>
      </w:pPr>
      <w:r w:rsidRPr="00EB7E69">
        <w:rPr>
          <w:lang w:val="pl-PL"/>
        </w:rPr>
        <w:t>1 Pas klejący</w:t>
      </w:r>
    </w:p>
    <w:p w:rsidR="00000000" w:rsidRPr="00EB7E69" w:rsidRDefault="00663D4D" w:rsidP="00EB7E69">
      <w:pPr>
        <w:rPr>
          <w:lang w:val="pl-PL"/>
        </w:rPr>
      </w:pPr>
      <w:r w:rsidRPr="00EB7E69">
        <w:rPr>
          <w:lang w:val="pl-PL"/>
        </w:rPr>
        <w:t>2 Kolorowa posyp</w:t>
      </w:r>
      <w:r w:rsidRPr="00EB7E69">
        <w:rPr>
          <w:lang w:val="pl-PL"/>
        </w:rPr>
        <w:t>ka bazaltowa</w:t>
      </w:r>
    </w:p>
    <w:p w:rsidR="00000000" w:rsidRPr="00EB7E69" w:rsidRDefault="00663D4D" w:rsidP="00EB7E69">
      <w:pPr>
        <w:rPr>
          <w:lang w:val="pl-PL"/>
        </w:rPr>
      </w:pPr>
      <w:r w:rsidRPr="00EB7E69">
        <w:rPr>
          <w:lang w:val="pl-PL"/>
        </w:rPr>
        <w:t>3 Wierzchnia warstwa bitumu</w:t>
      </w:r>
    </w:p>
    <w:p w:rsidR="00000000" w:rsidRPr="00EB7E69" w:rsidRDefault="00663D4D" w:rsidP="00EB7E69">
      <w:pPr>
        <w:rPr>
          <w:lang w:val="pl-PL"/>
        </w:rPr>
      </w:pPr>
      <w:r w:rsidRPr="00EB7E69">
        <w:rPr>
          <w:lang w:val="pl-PL"/>
        </w:rPr>
        <w:t>4 Impregnowany welon z włókna szklanego</w:t>
      </w:r>
    </w:p>
    <w:p w:rsidR="00000000" w:rsidRPr="00EB7E69" w:rsidRDefault="00663D4D" w:rsidP="00EB7E69">
      <w:pPr>
        <w:rPr>
          <w:lang w:val="pl-PL"/>
        </w:rPr>
      </w:pPr>
      <w:r w:rsidRPr="00EB7E69">
        <w:rPr>
          <w:lang w:val="pl-PL"/>
        </w:rPr>
        <w:t>5 Spodnia wastwa bitumu</w:t>
      </w:r>
    </w:p>
    <w:p w:rsidR="00000000" w:rsidRPr="00EB7E69" w:rsidRDefault="00663D4D" w:rsidP="00EB7E69">
      <w:pPr>
        <w:rPr>
          <w:lang w:val="pl-PL"/>
        </w:rPr>
      </w:pPr>
      <w:r w:rsidRPr="00EB7E69">
        <w:rPr>
          <w:lang w:val="pl-PL"/>
        </w:rPr>
        <w:t>6 Posypka piaskowa</w:t>
      </w:r>
    </w:p>
    <w:p w:rsidR="00000000" w:rsidRPr="00EB7E69" w:rsidRDefault="00663D4D" w:rsidP="00EB7E69">
      <w:pPr>
        <w:rPr>
          <w:lang w:val="pl-PL"/>
        </w:rPr>
      </w:pPr>
      <w:r w:rsidRPr="00EB7E69">
        <w:rPr>
          <w:lang w:val="pl-PL"/>
        </w:rPr>
        <w:t>7 Folia zapobiegająca sklejaniu sie gontów w paczce.</w:t>
      </w:r>
    </w:p>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r w:rsidRPr="00EB7E69">
        <w:rPr>
          <w:lang w:val="pl-PL"/>
        </w:rPr>
        <w:t>DANE TECHNICZNE: Zawartość bitumu 1300 gr/m²</w:t>
      </w:r>
    </w:p>
    <w:p w:rsidR="00000000" w:rsidRPr="00EB7E69" w:rsidRDefault="00663D4D" w:rsidP="00EB7E69">
      <w:pPr>
        <w:rPr>
          <w:lang w:val="pl-PL"/>
        </w:rPr>
      </w:pPr>
      <w:r w:rsidRPr="00EB7E69">
        <w:rPr>
          <w:lang w:val="pl-PL"/>
        </w:rPr>
        <w:t>Wkładka nośna 120 gr/m²</w:t>
      </w:r>
    </w:p>
    <w:p w:rsidR="00000000" w:rsidRPr="00EB7E69" w:rsidRDefault="00663D4D" w:rsidP="00EB7E69">
      <w:pPr>
        <w:rPr>
          <w:lang w:val="pl-PL"/>
        </w:rPr>
      </w:pPr>
      <w:r w:rsidRPr="00EB7E69">
        <w:rPr>
          <w:lang w:val="pl-PL"/>
        </w:rPr>
        <w:t>Wytrzym</w:t>
      </w:r>
      <w:r w:rsidRPr="00EB7E69">
        <w:rPr>
          <w:lang w:val="pl-PL"/>
        </w:rPr>
        <w:t>ałość na rozciąganie Wzdłużna 600 N/5cm - 850 N/5cm</w:t>
      </w:r>
    </w:p>
    <w:p w:rsidR="00000000" w:rsidRPr="00EB7E69" w:rsidRDefault="00663D4D" w:rsidP="00EB7E69">
      <w:pPr>
        <w:rPr>
          <w:lang w:val="pl-PL"/>
        </w:rPr>
      </w:pPr>
      <w:r w:rsidRPr="00EB7E69">
        <w:rPr>
          <w:lang w:val="pl-PL"/>
        </w:rPr>
        <w:t>Poprzeczna 600 N/5cm - 700 N/5cm</w:t>
      </w:r>
    </w:p>
    <w:p w:rsidR="00000000" w:rsidRPr="00EB7E69" w:rsidRDefault="00663D4D" w:rsidP="00EB7E69">
      <w:pPr>
        <w:rPr>
          <w:lang w:val="pl-PL"/>
        </w:rPr>
      </w:pPr>
      <w:r w:rsidRPr="00EB7E69">
        <w:rPr>
          <w:lang w:val="pl-PL"/>
        </w:rPr>
        <w:t>Wytrzymałość na przebicie 100 N/5cm 130 N/5cm</w:t>
      </w:r>
    </w:p>
    <w:p w:rsidR="00000000" w:rsidRPr="00EB7E69" w:rsidRDefault="00663D4D" w:rsidP="00EB7E69">
      <w:pPr>
        <w:rPr>
          <w:lang w:val="pl-PL"/>
        </w:rPr>
      </w:pPr>
      <w:r w:rsidRPr="00EB7E69">
        <w:rPr>
          <w:lang w:val="pl-PL"/>
        </w:rPr>
        <w:t>Wydłużenie przy sile zrywającej 2,5% min.</w:t>
      </w:r>
    </w:p>
    <w:p w:rsidR="00000000" w:rsidRPr="00EB7E69" w:rsidRDefault="00663D4D" w:rsidP="00EB7E69">
      <w:pPr>
        <w:rPr>
          <w:lang w:val="pl-PL"/>
        </w:rPr>
      </w:pPr>
      <w:r w:rsidRPr="00EB7E69">
        <w:rPr>
          <w:lang w:val="pl-PL"/>
        </w:rPr>
        <w:t xml:space="preserve"> </w:t>
      </w:r>
      <w:r w:rsidRPr="00EB7E69">
        <w:rPr>
          <w:lang w:val="pl-PL"/>
        </w:rPr>
        <w:tab/>
        <w:t xml:space="preserve"> </w:t>
      </w:r>
    </w:p>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 </w:t>
      </w:r>
    </w:p>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p>
    <w:p w:rsidR="00000000" w:rsidRPr="00EB7E69" w:rsidRDefault="00663D4D" w:rsidP="00EB7E69">
      <w:pPr>
        <w:rPr>
          <w:lang w:val="pl-PL"/>
        </w:rPr>
      </w:pPr>
      <w:r w:rsidRPr="00EB7E69">
        <w:rPr>
          <w:lang w:val="pl-PL"/>
        </w:rPr>
        <w:t xml:space="preserve"> </w:t>
      </w:r>
    </w:p>
    <w:p w:rsidR="00000000" w:rsidRPr="00EB7E69" w:rsidRDefault="00663D4D" w:rsidP="00EB7E69">
      <w:r w:rsidRPr="00EB7E69">
        <w:rPr>
          <w:lang w:val="pl-PL"/>
        </w:rPr>
        <w:t xml:space="preserve"> </w:t>
      </w:r>
      <w:r w:rsidRPr="00EB7E69">
        <w:t xml:space="preserve">. </w:t>
      </w:r>
    </w:p>
    <w:p w:rsidR="00000000" w:rsidRPr="00EB7E69" w:rsidRDefault="00663D4D" w:rsidP="00EB7E69"/>
    <w:p w:rsidR="00000000" w:rsidRPr="00EB7E69" w:rsidRDefault="00663D4D" w:rsidP="00EB7E69"/>
    <w:p w:rsidR="00663D4D" w:rsidRPr="00EB7E69" w:rsidRDefault="00663D4D" w:rsidP="00EB7E69"/>
    <w:sectPr w:rsidR="00663D4D" w:rsidRPr="00EB7E69">
      <w:footnotePr>
        <w:pos w:val="beneathText"/>
      </w:footnotePr>
      <w:pgSz w:w="11905" w:h="16837"/>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EB7E69"/>
    <w:rsid w:val="00663D4D"/>
    <w:rsid w:val="00EB7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Tahoma"/>
      <w:color w:val="000000"/>
      <w:sz w:val="24"/>
      <w:szCs w:val="24"/>
      <w:lang w:val="en-US" w:eastAsia="en-US" w:bidi="en-U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StarSymbol" w:eastAsia="StarSymbol" w:hAnsi="StarSymbol" w:cs="StarSymbol"/>
      <w:sz w:val="18"/>
      <w:szCs w:val="18"/>
    </w:rPr>
  </w:style>
  <w:style w:type="paragraph" w:customStyle="1" w:styleId="Zawartotabeli">
    <w:name w:val="Zawartość tabeli"/>
    <w:basedOn w:val="Normalny"/>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636</Words>
  <Characters>3817</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2</cp:revision>
  <cp:lastPrinted>1601-01-01T00:00:00Z</cp:lastPrinted>
  <dcterms:created xsi:type="dcterms:W3CDTF">2012-10-08T06:14:00Z</dcterms:created>
  <dcterms:modified xsi:type="dcterms:W3CDTF">2012-10-08T06:14:00Z</dcterms:modified>
</cp:coreProperties>
</file>